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009A058F" w:rsidR="001B178F" w:rsidRPr="001B178F" w:rsidRDefault="00F01B00" w:rsidP="00A8616A">
      <w:pPr>
        <w:jc w:val="center"/>
        <w:rPr>
          <w:b/>
          <w:sz w:val="32"/>
          <w:szCs w:val="32"/>
        </w:rPr>
      </w:pPr>
      <w:r>
        <w:rPr>
          <w:b/>
          <w:sz w:val="32"/>
          <w:szCs w:val="32"/>
        </w:rPr>
        <w:t>Kartoffel</w:t>
      </w:r>
      <w:r w:rsidR="001B178F" w:rsidRPr="001B178F">
        <w:rPr>
          <w:b/>
          <w:sz w:val="32"/>
          <w:szCs w:val="32"/>
        </w:rPr>
        <w:t>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6E56304E"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F01B00">
        <w:rPr>
          <w:sz w:val="18"/>
          <w:szCs w:val="18"/>
        </w:rPr>
        <w:t>Kartoffelafgiftsfonden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528223EE" w:rsidR="004B0CED" w:rsidRPr="00383E32" w:rsidRDefault="00960DC9" w:rsidP="007F1F36">
      <w:pPr>
        <w:spacing w:line="260" w:lineRule="exact"/>
        <w:rPr>
          <w:sz w:val="18"/>
          <w:szCs w:val="18"/>
        </w:rPr>
      </w:pPr>
      <w:r w:rsidRPr="00383E32">
        <w:rPr>
          <w:sz w:val="18"/>
          <w:szCs w:val="18"/>
        </w:rPr>
        <w:t>Tilskudsregnskabet er afla</w:t>
      </w:r>
      <w:r w:rsidR="003B0C95">
        <w:rPr>
          <w:sz w:val="18"/>
          <w:szCs w:val="18"/>
        </w:rPr>
        <w:t>g</w:t>
      </w:r>
      <w:r w:rsidRPr="00383E32">
        <w:rPr>
          <w:sz w:val="18"/>
          <w:szCs w:val="18"/>
        </w:rPr>
        <w:t xml:space="preserve">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06D74CB7"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F01B00">
        <w:rPr>
          <w:b/>
          <w:bCs/>
        </w:rPr>
        <w:t>Kartoffelafgiftsfonden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71327272"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F01B00">
        <w:rPr>
          <w:sz w:val="18"/>
          <w:szCs w:val="18"/>
        </w:rPr>
        <w:t>Kartoffelafgiftsfonden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14807591"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F01B00">
        <w:rPr>
          <w:sz w:val="18"/>
          <w:szCs w:val="18"/>
        </w:rPr>
        <w:t>Kartoffelafgiftsfonden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0F35955E"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997731">
      <w:rPr>
        <w:sz w:val="16"/>
        <w:szCs w:val="16"/>
      </w:rPr>
      <w:t>januar</w:t>
    </w:r>
    <w:r w:rsidR="0046523A">
      <w:rPr>
        <w:sz w:val="16"/>
        <w:szCs w:val="16"/>
      </w:rPr>
      <w:t xml:space="preserve"> 202</w:t>
    </w:r>
    <w:r w:rsidR="00997731">
      <w:rPr>
        <w:sz w:val="16"/>
        <w:szCs w:val="16"/>
      </w:rPr>
      <w:t>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123" w14:textId="731C0B05" w:rsidR="00810C95" w:rsidRDefault="008F16C6">
    <w:pPr>
      <w:pStyle w:val="Sidehoved"/>
    </w:pPr>
    <w:r>
      <w:rPr>
        <w:noProof/>
      </w:rPr>
      <w:drawing>
        <wp:inline distT="0" distB="0" distL="0" distR="0" wp14:anchorId="15DFA433" wp14:editId="3FAAE2DD">
          <wp:extent cx="2674800" cy="28800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674800" cy="2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sQWXxERqoB5JYdsgxddvr8/9FR1a+74apeqoA92R29t79/JAZdFJSLsqEcsW5HX7MSuKBNyxqi95j+5z1zH2Fw==" w:salt="oXjdNpxXisH9iNOGtMvdZ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0C95"/>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161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8F16C6"/>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731"/>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0E4F"/>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B45A4"/>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1B00"/>
    <w:rsid w:val="00F02445"/>
    <w:rsid w:val="00F028C9"/>
    <w:rsid w:val="00F03FD9"/>
    <w:rsid w:val="00F208C6"/>
    <w:rsid w:val="00F26E16"/>
    <w:rsid w:val="00F27F1C"/>
    <w:rsid w:val="00F34BCB"/>
    <w:rsid w:val="00F374CF"/>
    <w:rsid w:val="00F41CB2"/>
    <w:rsid w:val="00F46453"/>
    <w:rsid w:val="00F50F32"/>
    <w:rsid w:val="00F53D9C"/>
    <w:rsid w:val="00F54474"/>
    <w:rsid w:val="00F60AB8"/>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1773</Words>
  <Characters>11580</Characters>
  <Application>Microsoft Office Word</Application>
  <DocSecurity>0</DocSecurity>
  <Lines>236</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Thomas Weibeck</cp:lastModifiedBy>
  <cp:revision>30</cp:revision>
  <cp:lastPrinted>2020-11-10T13:33:00Z</cp:lastPrinted>
  <dcterms:created xsi:type="dcterms:W3CDTF">2022-12-06T15:12:00Z</dcterms:created>
  <dcterms:modified xsi:type="dcterms:W3CDTF">2026-01-20T11:59:00Z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